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94CF" w14:textId="741A37F9" w:rsidR="00640BD7" w:rsidRDefault="00640BD7" w:rsidP="00640BD7">
      <w:pPr>
        <w:spacing w:after="200" w:line="360" w:lineRule="auto"/>
        <w:rPr>
          <w:rFonts w:ascii="Times New Roman" w:eastAsia="Calibri" w:hAnsi="Times New Roman" w:cs="Times New Roman"/>
          <w:b/>
          <w:kern w:val="0"/>
          <w:sz w:val="24"/>
          <w:szCs w:val="24"/>
          <w:lang w:val="ro-RO"/>
          <w14:ligatures w14:val="none"/>
        </w:rPr>
      </w:pPr>
      <w:r w:rsidRPr="00640BD7">
        <w:drawing>
          <wp:inline distT="0" distB="0" distL="0" distR="0" wp14:anchorId="59BFBE47" wp14:editId="12E9AE68">
            <wp:extent cx="594360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84530"/>
                    </a:xfrm>
                    <a:prstGeom prst="rect">
                      <a:avLst/>
                    </a:prstGeom>
                    <a:noFill/>
                    <a:ln>
                      <a:noFill/>
                    </a:ln>
                  </pic:spPr>
                </pic:pic>
              </a:graphicData>
            </a:graphic>
          </wp:inline>
        </w:drawing>
      </w:r>
    </w:p>
    <w:p w14:paraId="34C14195" w14:textId="4797DB73" w:rsidR="00CA07D0" w:rsidRPr="00CA07D0" w:rsidRDefault="00CA07D0" w:rsidP="00CA07D0">
      <w:pPr>
        <w:spacing w:after="200" w:line="360" w:lineRule="auto"/>
        <w:jc w:val="center"/>
        <w:rPr>
          <w:rFonts w:ascii="Times New Roman" w:eastAsia="Calibri" w:hAnsi="Times New Roman" w:cs="Times New Roman"/>
          <w:b/>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BIBLIOGRAFIA</w:t>
      </w:r>
    </w:p>
    <w:p w14:paraId="74FDC439" w14:textId="77777777" w:rsidR="00CA07D0" w:rsidRPr="00CA07D0" w:rsidRDefault="00CA07D0" w:rsidP="00CA07D0">
      <w:pPr>
        <w:spacing w:after="0" w:line="276" w:lineRule="auto"/>
        <w:ind w:firstLine="708"/>
        <w:jc w:val="center"/>
        <w:rPr>
          <w:rFonts w:ascii="Times New Roman" w:eastAsia="Calibri" w:hAnsi="Times New Roman" w:cs="Times New Roman"/>
          <w:b/>
          <w:color w:val="FF0000"/>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la concursul organizat în vederea ocupării postului vacant de Medic specialist medicina de laborator</w:t>
      </w:r>
    </w:p>
    <w:p w14:paraId="465DA968" w14:textId="77777777" w:rsidR="00CA07D0" w:rsidRPr="00CA07D0" w:rsidRDefault="00CA07D0" w:rsidP="00CA07D0">
      <w:pPr>
        <w:keepNext/>
        <w:keepLines/>
        <w:numPr>
          <w:ilvl w:val="0"/>
          <w:numId w:val="1"/>
        </w:numPr>
        <w:shd w:val="clear" w:color="auto" w:fill="FFFFFF"/>
        <w:suppressAutoHyphens/>
        <w:spacing w:before="270" w:after="135" w:line="240" w:lineRule="auto"/>
        <w:textAlignment w:val="baseline"/>
        <w:outlineLvl w:val="0"/>
        <w:rPr>
          <w:rFonts w:ascii="Arial Narrow" w:eastAsia="MS Gothic" w:hAnsi="Arial Narrow" w:cs="Times New Roman"/>
          <w:bCs/>
          <w:color w:val="3A3939"/>
          <w:kern w:val="0"/>
          <w:sz w:val="24"/>
          <w:szCs w:val="24"/>
          <w14:ligatures w14:val="none"/>
        </w:rPr>
      </w:pPr>
      <w:proofErr w:type="spellStart"/>
      <w:r w:rsidRPr="00CA07D0">
        <w:rPr>
          <w:rFonts w:ascii="Arial Narrow" w:eastAsia="MS Gothic" w:hAnsi="Arial Narrow" w:cs="Times New Roman"/>
          <w:b/>
          <w:bCs/>
          <w:color w:val="3A3939"/>
          <w:kern w:val="0"/>
          <w:sz w:val="24"/>
          <w:szCs w:val="24"/>
          <w14:ligatures w14:val="none"/>
        </w:rPr>
        <w:t>Biochimie</w:t>
      </w:r>
      <w:proofErr w:type="spellEnd"/>
      <w:r w:rsidRPr="00CA07D0">
        <w:rPr>
          <w:rFonts w:ascii="Arial Narrow" w:eastAsia="MS Gothic" w:hAnsi="Arial Narrow" w:cs="Times New Roman"/>
          <w:b/>
          <w:bCs/>
          <w:color w:val="3A3939"/>
          <w:kern w:val="0"/>
          <w:sz w:val="24"/>
          <w:szCs w:val="24"/>
          <w14:ligatures w14:val="none"/>
        </w:rPr>
        <w:t xml:space="preserve"> </w:t>
      </w:r>
      <w:proofErr w:type="spellStart"/>
      <w:r w:rsidRPr="00CA07D0">
        <w:rPr>
          <w:rFonts w:ascii="Arial Narrow" w:eastAsia="MS Gothic" w:hAnsi="Arial Narrow" w:cs="Times New Roman"/>
          <w:b/>
          <w:bCs/>
          <w:color w:val="3A3939"/>
          <w:kern w:val="0"/>
          <w:sz w:val="24"/>
          <w:szCs w:val="24"/>
          <w14:ligatures w14:val="none"/>
        </w:rPr>
        <w:t>clinică</w:t>
      </w:r>
      <w:proofErr w:type="spellEnd"/>
      <w:r w:rsidRPr="00CA07D0">
        <w:rPr>
          <w:rFonts w:ascii="Arial Narrow" w:eastAsia="MS Gothic" w:hAnsi="Arial Narrow" w:cs="Times New Roman"/>
          <w:b/>
          <w:bCs/>
          <w:color w:val="3A3939"/>
          <w:kern w:val="0"/>
          <w:sz w:val="24"/>
          <w:szCs w:val="24"/>
          <w14:ligatures w14:val="none"/>
        </w:rPr>
        <w:t xml:space="preserve">. </w:t>
      </w:r>
      <w:proofErr w:type="spellStart"/>
      <w:r w:rsidRPr="00CA07D0">
        <w:rPr>
          <w:rFonts w:ascii="Arial Narrow" w:eastAsia="MS Gothic" w:hAnsi="Arial Narrow" w:cs="Times New Roman"/>
          <w:b/>
          <w:bCs/>
          <w:color w:val="3A3939"/>
          <w:kern w:val="0"/>
          <w:sz w:val="24"/>
          <w:szCs w:val="24"/>
          <w14:ligatures w14:val="none"/>
        </w:rPr>
        <w:t>Implicații</w:t>
      </w:r>
      <w:proofErr w:type="spellEnd"/>
      <w:r w:rsidRPr="00CA07D0">
        <w:rPr>
          <w:rFonts w:ascii="Arial Narrow" w:eastAsia="MS Gothic" w:hAnsi="Arial Narrow" w:cs="Times New Roman"/>
          <w:b/>
          <w:bCs/>
          <w:color w:val="3A3939"/>
          <w:kern w:val="0"/>
          <w:sz w:val="24"/>
          <w:szCs w:val="24"/>
          <w14:ligatures w14:val="none"/>
        </w:rPr>
        <w:t xml:space="preserve"> practice</w:t>
      </w:r>
      <w:r w:rsidRPr="00CA07D0">
        <w:rPr>
          <w:rFonts w:ascii="Arial Narrow" w:eastAsia="MS Gothic" w:hAnsi="Arial Narrow" w:cs="Times New Roman"/>
          <w:bCs/>
          <w:color w:val="3A3939"/>
          <w:kern w:val="0"/>
          <w:sz w:val="24"/>
          <w:szCs w:val="24"/>
          <w14:ligatures w14:val="none"/>
        </w:rPr>
        <w:t xml:space="preserve">. </w:t>
      </w:r>
      <w:proofErr w:type="spellStart"/>
      <w:r w:rsidRPr="00CA07D0">
        <w:rPr>
          <w:rFonts w:ascii="Arial Narrow" w:eastAsia="MS Gothic" w:hAnsi="Arial Narrow" w:cs="Times New Roman"/>
          <w:bCs/>
          <w:color w:val="3A3939"/>
          <w:kern w:val="0"/>
          <w:sz w:val="24"/>
          <w:szCs w:val="24"/>
          <w14:ligatures w14:val="none"/>
        </w:rPr>
        <w:t>Ediția</w:t>
      </w:r>
      <w:proofErr w:type="spellEnd"/>
      <w:r w:rsidRPr="00CA07D0">
        <w:rPr>
          <w:rFonts w:ascii="Arial Narrow" w:eastAsia="MS Gothic" w:hAnsi="Arial Narrow" w:cs="Times New Roman"/>
          <w:bCs/>
          <w:color w:val="3A3939"/>
          <w:kern w:val="0"/>
          <w:sz w:val="24"/>
          <w:szCs w:val="24"/>
          <w14:ligatures w14:val="none"/>
        </w:rPr>
        <w:t xml:space="preserve"> a III-a. Vol 1 </w:t>
      </w:r>
      <w:proofErr w:type="spellStart"/>
      <w:r w:rsidRPr="00CA07D0">
        <w:rPr>
          <w:rFonts w:ascii="Arial Narrow" w:eastAsia="MS Gothic" w:hAnsi="Arial Narrow" w:cs="Times New Roman"/>
          <w:bCs/>
          <w:color w:val="3A3939"/>
          <w:kern w:val="0"/>
          <w:sz w:val="24"/>
          <w:szCs w:val="24"/>
          <w14:ligatures w14:val="none"/>
        </w:rPr>
        <w:t>și</w:t>
      </w:r>
      <w:proofErr w:type="spellEnd"/>
      <w:r w:rsidRPr="00CA07D0">
        <w:rPr>
          <w:rFonts w:ascii="Arial Narrow" w:eastAsia="MS Gothic" w:hAnsi="Arial Narrow" w:cs="Times New Roman"/>
          <w:bCs/>
          <w:color w:val="3A3939"/>
          <w:kern w:val="0"/>
          <w:sz w:val="24"/>
          <w:szCs w:val="24"/>
          <w14:ligatures w14:val="none"/>
        </w:rPr>
        <w:t xml:space="preserve"> Vol 2 - sub </w:t>
      </w:r>
      <w:proofErr w:type="spellStart"/>
      <w:r w:rsidRPr="00CA07D0">
        <w:rPr>
          <w:rFonts w:ascii="Arial Narrow" w:eastAsia="MS Gothic" w:hAnsi="Arial Narrow" w:cs="Times New Roman"/>
          <w:bCs/>
          <w:color w:val="3A3939"/>
          <w:kern w:val="0"/>
          <w:sz w:val="24"/>
          <w:szCs w:val="24"/>
          <w14:ligatures w14:val="none"/>
        </w:rPr>
        <w:t>redacția</w:t>
      </w:r>
      <w:proofErr w:type="spellEnd"/>
      <w:r w:rsidRPr="00CA07D0">
        <w:rPr>
          <w:rFonts w:ascii="Arial Narrow" w:eastAsia="MS Gothic" w:hAnsi="Arial Narrow" w:cs="Times New Roman"/>
          <w:bCs/>
          <w:color w:val="3A3939"/>
          <w:kern w:val="0"/>
          <w:sz w:val="24"/>
          <w:szCs w:val="24"/>
          <w14:ligatures w14:val="none"/>
        </w:rPr>
        <w:t xml:space="preserve">, </w:t>
      </w:r>
      <w:proofErr w:type="spellStart"/>
      <w:r w:rsidRPr="00CA07D0">
        <w:rPr>
          <w:rFonts w:ascii="Arial Narrow" w:eastAsia="MS Gothic" w:hAnsi="Arial Narrow" w:cs="Times New Roman"/>
          <w:bCs/>
          <w:color w:val="3A3939"/>
          <w:kern w:val="0"/>
          <w:sz w:val="24"/>
          <w:szCs w:val="24"/>
          <w14:ligatures w14:val="none"/>
        </w:rPr>
        <w:t>Minodora</w:t>
      </w:r>
      <w:proofErr w:type="spellEnd"/>
      <w:r w:rsidRPr="00CA07D0">
        <w:rPr>
          <w:rFonts w:ascii="Arial Narrow" w:eastAsia="MS Gothic" w:hAnsi="Arial Narrow" w:cs="Times New Roman"/>
          <w:bCs/>
          <w:color w:val="3A3939"/>
          <w:kern w:val="0"/>
          <w:sz w:val="24"/>
          <w:szCs w:val="24"/>
          <w14:ligatures w14:val="none"/>
        </w:rPr>
        <w:t xml:space="preserve"> </w:t>
      </w:r>
      <w:proofErr w:type="spellStart"/>
      <w:r w:rsidRPr="00CA07D0">
        <w:rPr>
          <w:rFonts w:ascii="Arial Narrow" w:eastAsia="MS Gothic" w:hAnsi="Arial Narrow" w:cs="Times New Roman"/>
          <w:bCs/>
          <w:color w:val="3A3939"/>
          <w:kern w:val="0"/>
          <w:sz w:val="24"/>
          <w:szCs w:val="24"/>
          <w14:ligatures w14:val="none"/>
        </w:rPr>
        <w:t>Dobreanu</w:t>
      </w:r>
      <w:proofErr w:type="spellEnd"/>
      <w:r w:rsidRPr="00CA07D0">
        <w:rPr>
          <w:rFonts w:ascii="Arial Narrow" w:eastAsia="MS Gothic" w:hAnsi="Arial Narrow" w:cs="Times New Roman"/>
          <w:bCs/>
          <w:color w:val="3A3939"/>
          <w:kern w:val="0"/>
          <w:sz w:val="24"/>
          <w:szCs w:val="24"/>
          <w14:ligatures w14:val="none"/>
        </w:rPr>
        <w:t>, 2015</w:t>
      </w:r>
    </w:p>
    <w:p w14:paraId="1238C770" w14:textId="77777777" w:rsidR="00CA07D0" w:rsidRPr="00CA07D0" w:rsidRDefault="00CA07D0" w:rsidP="00CA07D0">
      <w:pPr>
        <w:numPr>
          <w:ilvl w:val="0"/>
          <w:numId w:val="1"/>
        </w:numPr>
        <w:spacing w:after="200" w:line="264" w:lineRule="atLeast"/>
        <w:textAlignment w:val="baseline"/>
        <w:outlineLvl w:val="0"/>
        <w:rPr>
          <w:rFonts w:ascii="Calibri" w:eastAsia="Calibri" w:hAnsi="Calibri" w:cs="Times New Roman"/>
          <w:kern w:val="0"/>
          <w:lang w:val="ro-RO"/>
          <w14:ligatures w14:val="none"/>
        </w:rPr>
      </w:pPr>
      <w:r w:rsidRPr="00CA07D0">
        <w:rPr>
          <w:rFonts w:ascii="Arial Narrow" w:eastAsia="Calibri" w:hAnsi="Arial Narrow" w:cs="Times New Roman"/>
          <w:kern w:val="0"/>
          <w:sz w:val="24"/>
          <w:szCs w:val="24"/>
          <w:lang w:val="ro-RO"/>
          <w14:ligatures w14:val="none"/>
        </w:rPr>
        <w:t>2016</w:t>
      </w:r>
    </w:p>
    <w:p w14:paraId="2747C032" w14:textId="77777777" w:rsidR="00CA07D0" w:rsidRPr="00CA07D0" w:rsidRDefault="00CA07D0" w:rsidP="00CA07D0">
      <w:pPr>
        <w:numPr>
          <w:ilvl w:val="0"/>
          <w:numId w:val="1"/>
        </w:numPr>
        <w:shd w:val="clear" w:color="auto" w:fill="FFFFFF"/>
        <w:spacing w:after="200" w:line="264" w:lineRule="atLeast"/>
        <w:textAlignment w:val="baseline"/>
        <w:outlineLvl w:val="0"/>
        <w:rPr>
          <w:rFonts w:ascii="Arial Narrow" w:eastAsia="Calibri" w:hAnsi="Arial Narrow" w:cs="Times New Roman"/>
          <w:bCs/>
          <w:kern w:val="0"/>
          <w:sz w:val="24"/>
          <w:szCs w:val="24"/>
          <w:lang w:val="ro-RO"/>
          <w14:ligatures w14:val="none"/>
        </w:rPr>
      </w:pPr>
      <w:r w:rsidRPr="00CA07D0">
        <w:rPr>
          <w:rFonts w:ascii="Arial Narrow" w:eastAsia="Calibri" w:hAnsi="Arial Narrow" w:cs="Times New Roman"/>
          <w:b/>
          <w:kern w:val="0"/>
          <w:sz w:val="24"/>
          <w:szCs w:val="24"/>
          <w:lang w:val="ro-RO"/>
          <w14:ligatures w14:val="none"/>
        </w:rPr>
        <w:t xml:space="preserve">Ghid de biochimie clinica in specialitatea medicina de laborator, </w:t>
      </w:r>
      <w:r w:rsidRPr="00CA07D0">
        <w:rPr>
          <w:rFonts w:ascii="Arial Narrow" w:eastAsia="Calibri" w:hAnsi="Arial Narrow" w:cs="Times New Roman"/>
          <w:bCs/>
          <w:kern w:val="0"/>
          <w:sz w:val="24"/>
          <w:szCs w:val="24"/>
          <w:lang w:val="ro-RO"/>
          <w14:ligatures w14:val="none"/>
        </w:rPr>
        <w:t>Codruta Popa, editura universitara Carol Davila, 2016</w:t>
      </w:r>
    </w:p>
    <w:p w14:paraId="06A513F6" w14:textId="77777777" w:rsidR="00CA07D0" w:rsidRPr="00CA07D0" w:rsidRDefault="00CA07D0" w:rsidP="00CA07D0">
      <w:pPr>
        <w:numPr>
          <w:ilvl w:val="0"/>
          <w:numId w:val="1"/>
        </w:numPr>
        <w:shd w:val="clear" w:color="auto" w:fill="FFFFFF"/>
        <w:spacing w:after="200" w:line="264" w:lineRule="atLeast"/>
        <w:textAlignment w:val="baseline"/>
        <w:outlineLvl w:val="0"/>
        <w:rPr>
          <w:rFonts w:ascii="Arial Narrow" w:eastAsia="Calibri" w:hAnsi="Arial Narrow" w:cs="Times New Roman"/>
          <w:b/>
          <w:kern w:val="0"/>
          <w:sz w:val="24"/>
          <w:szCs w:val="24"/>
          <w:lang w:val="ro-RO"/>
          <w14:ligatures w14:val="none"/>
        </w:rPr>
      </w:pPr>
      <w:r w:rsidRPr="00CA07D0">
        <w:rPr>
          <w:rFonts w:ascii="Arial Narrow" w:eastAsia="Calibri" w:hAnsi="Arial Narrow" w:cs="Times New Roman"/>
          <w:b/>
          <w:kern w:val="0"/>
          <w:sz w:val="24"/>
          <w:szCs w:val="24"/>
          <w:lang w:val="ro-RO"/>
          <w14:ligatures w14:val="none"/>
        </w:rPr>
        <w:t xml:space="preserve">Biochimie medicala.Partea I si II, </w:t>
      </w:r>
      <w:hyperlink r:id="rId6" w:history="1">
        <w:r w:rsidRPr="00CA07D0">
          <w:rPr>
            <w:rFonts w:ascii="Arial Narrow" w:eastAsia="Calibri" w:hAnsi="Arial Narrow" w:cs="Times New Roman"/>
            <w:bCs/>
            <w:color w:val="0000FF"/>
            <w:kern w:val="0"/>
            <w:sz w:val="24"/>
            <w:szCs w:val="24"/>
            <w:u w:val="single"/>
            <w:lang w:val="ro-RO"/>
            <w14:ligatures w14:val="none"/>
          </w:rPr>
          <w:t>Valeriu Atanasiu, Maria Mohora, Carmen Duta, Marilena Gilca, Corina Muscurel, Codruta Popa, Bogdana Virgolici</w:t>
        </w:r>
      </w:hyperlink>
      <w:r w:rsidRPr="00CA07D0">
        <w:rPr>
          <w:rFonts w:ascii="Arial Narrow" w:eastAsia="Calibri" w:hAnsi="Arial Narrow" w:cs="Times New Roman"/>
          <w:bCs/>
          <w:kern w:val="0"/>
          <w:sz w:val="24"/>
          <w:szCs w:val="24"/>
          <w:lang w:val="ro-RO"/>
          <w14:ligatures w14:val="none"/>
        </w:rPr>
        <w:t>, editura universitara Carol Davila, 2017</w:t>
      </w:r>
    </w:p>
    <w:p w14:paraId="05FB7706" w14:textId="77777777" w:rsidR="00CA07D0" w:rsidRPr="00CA07D0" w:rsidRDefault="00CA07D0" w:rsidP="00CA07D0">
      <w:pPr>
        <w:numPr>
          <w:ilvl w:val="0"/>
          <w:numId w:val="1"/>
        </w:numPr>
        <w:suppressAutoHyphens/>
        <w:spacing w:after="200" w:line="360" w:lineRule="auto"/>
        <w:rPr>
          <w:rFonts w:ascii="Arial Narrow" w:eastAsia="Calibri" w:hAnsi="Arial Narrow" w:cs="Times New Roman"/>
          <w:b/>
          <w:bCs/>
          <w:kern w:val="0"/>
          <w:sz w:val="24"/>
          <w:szCs w:val="24"/>
          <w:lang w:val="ro-RO"/>
          <w14:ligatures w14:val="none"/>
        </w:rPr>
      </w:pPr>
      <w:r w:rsidRPr="00CA07D0">
        <w:rPr>
          <w:rFonts w:ascii="Arial Narrow" w:eastAsia="Calibri" w:hAnsi="Arial Narrow" w:cs="Times New Roman"/>
          <w:b/>
          <w:bCs/>
          <w:kern w:val="0"/>
          <w:sz w:val="24"/>
          <w:szCs w:val="24"/>
          <w:lang w:val="ro-RO"/>
          <w14:ligatures w14:val="none"/>
        </w:rPr>
        <w:t xml:space="preserve">Hematologie clinica, sub redactia Anca Roxana Lupu, Ana Maria Vladareanu, Daniel Coriu, Editura Universitara “Carol Davila”, 2017 </w:t>
      </w:r>
    </w:p>
    <w:p w14:paraId="1B11CC91" w14:textId="77777777" w:rsidR="00CA07D0" w:rsidRPr="00CA07D0" w:rsidRDefault="00CA07D0" w:rsidP="00CA07D0">
      <w:pPr>
        <w:numPr>
          <w:ilvl w:val="0"/>
          <w:numId w:val="1"/>
        </w:numPr>
        <w:spacing w:after="120" w:line="20" w:lineRule="atLeast"/>
        <w:jc w:val="both"/>
        <w:rPr>
          <w:rFonts w:ascii="Arial Narrow" w:eastAsia="Calibri" w:hAnsi="Arial Narrow" w:cs="Arial"/>
          <w:kern w:val="0"/>
          <w:sz w:val="24"/>
          <w:szCs w:val="24"/>
          <w:shd w:val="clear" w:color="auto" w:fill="FFFFFF"/>
          <w:lang w:val="ro-RO"/>
          <w14:ligatures w14:val="none"/>
        </w:rPr>
      </w:pPr>
      <w:r w:rsidRPr="00CA07D0">
        <w:rPr>
          <w:rFonts w:ascii="Arial Narrow" w:eastAsia="Calibri" w:hAnsi="Arial Narrow" w:cs="Arial"/>
          <w:b/>
          <w:bCs/>
          <w:kern w:val="0"/>
          <w:sz w:val="24"/>
          <w:szCs w:val="24"/>
          <w:shd w:val="clear" w:color="auto" w:fill="FFFFFF"/>
          <w:lang w:val="ro-RO"/>
          <w14:ligatures w14:val="none"/>
        </w:rPr>
        <w:t>Ordinul MSP 1301 din 20 iulie 2007</w:t>
      </w:r>
      <w:r w:rsidRPr="00CA07D0">
        <w:rPr>
          <w:rFonts w:ascii="Arial Narrow" w:eastAsia="Calibri" w:hAnsi="Arial Narrow" w:cs="Arial"/>
          <w:kern w:val="0"/>
          <w:sz w:val="24"/>
          <w:szCs w:val="24"/>
          <w:shd w:val="clear" w:color="auto" w:fill="FFFFFF"/>
          <w:lang w:val="ro-RO"/>
          <w14:ligatures w14:val="none"/>
        </w:rPr>
        <w:t xml:space="preserve"> pentru aprobarea Normelor privind funcționarea laboratoarelor de analize medicale, publicat în MONITORUL OFICIAL nr. 617 din 6 septembrie 2007, cu modificările și completările ulterioare https://legislatie.just.ro/Public/DetaliiDocument/85155</w:t>
      </w:r>
    </w:p>
    <w:p w14:paraId="14E190AC" w14:textId="77777777" w:rsidR="00CA07D0" w:rsidRPr="00CA07D0" w:rsidRDefault="00CA07D0" w:rsidP="00CA07D0">
      <w:pPr>
        <w:numPr>
          <w:ilvl w:val="0"/>
          <w:numId w:val="1"/>
        </w:numPr>
        <w:spacing w:after="120" w:line="20" w:lineRule="atLeast"/>
        <w:jc w:val="both"/>
        <w:rPr>
          <w:rFonts w:ascii="Arial Narrow" w:eastAsia="Calibri" w:hAnsi="Arial Narrow" w:cs="Arial"/>
          <w:kern w:val="0"/>
          <w:sz w:val="24"/>
          <w:szCs w:val="24"/>
          <w:shd w:val="clear" w:color="auto" w:fill="FFFFFF"/>
          <w:lang w:val="ro-RO"/>
          <w14:ligatures w14:val="none"/>
        </w:rPr>
      </w:pPr>
      <w:r w:rsidRPr="00CA07D0">
        <w:rPr>
          <w:rFonts w:ascii="Arial Narrow" w:eastAsia="Calibri" w:hAnsi="Arial Narrow" w:cs="Arial"/>
          <w:b/>
          <w:bCs/>
          <w:kern w:val="0"/>
          <w:sz w:val="24"/>
          <w:szCs w:val="24"/>
          <w:shd w:val="clear" w:color="auto" w:fill="FFFFFF"/>
          <w:lang w:val="ro-RO"/>
          <w14:ligatures w14:val="none"/>
        </w:rPr>
        <w:t>SR EN ISO 15189</w:t>
      </w:r>
      <w:r w:rsidRPr="00CA07D0">
        <w:rPr>
          <w:rFonts w:ascii="Arial Narrow" w:eastAsia="Calibri" w:hAnsi="Arial Narrow" w:cs="Arial"/>
          <w:kern w:val="0"/>
          <w:sz w:val="24"/>
          <w:szCs w:val="24"/>
          <w:shd w:val="clear" w:color="auto" w:fill="FFFFFF"/>
          <w:lang w:val="ro-RO"/>
          <w14:ligatures w14:val="none"/>
        </w:rPr>
        <w:t xml:space="preserve"> – Laboratoare medicale. Cerințe pentru calitate și competență, versiunea actualizată</w:t>
      </w:r>
    </w:p>
    <w:p w14:paraId="2C77E097" w14:textId="77777777" w:rsidR="00CA07D0" w:rsidRPr="00CA07D0" w:rsidRDefault="00CA07D0" w:rsidP="00CA07D0">
      <w:pPr>
        <w:numPr>
          <w:ilvl w:val="0"/>
          <w:numId w:val="1"/>
        </w:numPr>
        <w:spacing w:after="120" w:line="20" w:lineRule="atLeast"/>
        <w:jc w:val="both"/>
        <w:rPr>
          <w:rFonts w:ascii="Arial Narrow" w:eastAsia="Calibri" w:hAnsi="Arial Narrow" w:cs="Arial"/>
          <w:kern w:val="0"/>
          <w:sz w:val="24"/>
          <w:szCs w:val="24"/>
          <w:lang w:val="ro-RO"/>
          <w14:ligatures w14:val="none"/>
        </w:rPr>
      </w:pPr>
      <w:r w:rsidRPr="00CA07D0">
        <w:rPr>
          <w:rFonts w:ascii="Arial Narrow" w:eastAsia="Calibri" w:hAnsi="Arial Narrow" w:cs="Arial"/>
          <w:b/>
          <w:bCs/>
          <w:kern w:val="0"/>
          <w:sz w:val="24"/>
          <w:szCs w:val="24"/>
          <w:shd w:val="clear" w:color="auto" w:fill="FFFFFF"/>
          <w:lang w:val="ro-RO"/>
          <w14:ligatures w14:val="none"/>
        </w:rPr>
        <w:t>Ghidul național de biosiguranță pentru laboratoarele medicale</w:t>
      </w:r>
      <w:r w:rsidRPr="00CA07D0">
        <w:rPr>
          <w:rFonts w:ascii="Arial Narrow" w:eastAsia="Calibri" w:hAnsi="Arial Narrow" w:cs="Arial"/>
          <w:kern w:val="0"/>
          <w:sz w:val="24"/>
          <w:szCs w:val="24"/>
          <w:shd w:val="clear" w:color="auto" w:fill="FFFFFF"/>
          <w:lang w:val="ro-RO"/>
          <w14:ligatures w14:val="none"/>
        </w:rPr>
        <w:t>, Ministerul Sănătății, 2005 sau versiunea actualizată</w:t>
      </w:r>
    </w:p>
    <w:p w14:paraId="0DEFCCFC" w14:textId="77777777" w:rsidR="00CA07D0" w:rsidRPr="00CA07D0" w:rsidRDefault="00CA07D0" w:rsidP="00CA07D0">
      <w:pPr>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CA07D0">
        <w:rPr>
          <w:rFonts w:ascii="Times New Roman" w:eastAsia="Times New Roman" w:hAnsi="Times New Roman" w:cs="Times New Roman"/>
          <w:b/>
          <w:bCs/>
          <w:kern w:val="0"/>
          <w:sz w:val="24"/>
          <w:szCs w:val="24"/>
          <w:lang w:val="ro-RO" w:eastAsia="ro-RO"/>
          <w14:ligatures w14:val="none"/>
        </w:rPr>
        <w:t>ORDIN nr. 1.761 din 3 septembrie 2021</w:t>
      </w:r>
      <w:r w:rsidRPr="00CA07D0">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4397A801" w14:textId="77777777" w:rsidR="00CA07D0" w:rsidRPr="00CA07D0" w:rsidRDefault="00CA07D0" w:rsidP="00CA07D0">
      <w:pPr>
        <w:spacing w:after="0" w:line="240" w:lineRule="auto"/>
        <w:ind w:left="720"/>
        <w:jc w:val="both"/>
        <w:rPr>
          <w:rFonts w:ascii="Times New Roman" w:eastAsia="Times New Roman" w:hAnsi="Times New Roman" w:cs="Times New Roman"/>
          <w:kern w:val="0"/>
          <w:sz w:val="24"/>
          <w:szCs w:val="24"/>
          <w:lang w:val="ro-RO" w:eastAsia="ro-RO"/>
          <w14:ligatures w14:val="none"/>
        </w:rPr>
      </w:pPr>
      <w:r w:rsidRPr="00CA07D0">
        <w:rPr>
          <w:rFonts w:ascii="Times New Roman" w:eastAsia="Times New Roman" w:hAnsi="Times New Roman" w:cs="Times New Roman"/>
          <w:b/>
          <w:bCs/>
          <w:kern w:val="0"/>
          <w:sz w:val="24"/>
          <w:szCs w:val="24"/>
          <w:lang w:val="ro-RO" w:eastAsia="ro-RO"/>
          <w14:ligatures w14:val="none"/>
        </w:rPr>
        <w:t xml:space="preserve">Anexa 1 - </w:t>
      </w:r>
      <w:r w:rsidRPr="00CA07D0">
        <w:rPr>
          <w:rFonts w:ascii="Times New Roman" w:eastAsia="Times New Roman" w:hAnsi="Times New Roman" w:cs="Times New Roman"/>
          <w:kern w:val="0"/>
          <w:sz w:val="24"/>
          <w:szCs w:val="24"/>
          <w:lang w:val="ro-RO" w:eastAsia="ro-RO"/>
          <w14:ligatures w14:val="none"/>
        </w:rPr>
        <w:t>NORME TEHNICE din 3 septembrie 2021 privind curăţarea, dezinfecţia şi sterilizarea în unităţile sanitare publice şi private</w:t>
      </w:r>
    </w:p>
    <w:p w14:paraId="2C14FAA4" w14:textId="77777777" w:rsidR="00CA07D0" w:rsidRPr="00CA07D0" w:rsidRDefault="00CA07D0" w:rsidP="00CA07D0">
      <w:pPr>
        <w:spacing w:after="0" w:line="240" w:lineRule="auto"/>
        <w:ind w:left="2070"/>
        <w:jc w:val="both"/>
        <w:rPr>
          <w:rFonts w:ascii="Times New Roman" w:eastAsia="Times New Roman" w:hAnsi="Times New Roman" w:cs="Times New Roman"/>
          <w:kern w:val="0"/>
          <w:sz w:val="24"/>
          <w:szCs w:val="24"/>
          <w:lang w:val="ro-RO" w:eastAsia="ro-RO"/>
          <w14:ligatures w14:val="none"/>
        </w:rPr>
      </w:pPr>
    </w:p>
    <w:p w14:paraId="3BE03BF9" w14:textId="77777777" w:rsidR="00CA07D0" w:rsidRPr="00CA07D0" w:rsidRDefault="00CA07D0" w:rsidP="00CA07D0">
      <w:pPr>
        <w:spacing w:after="0" w:line="240" w:lineRule="auto"/>
        <w:ind w:left="720"/>
        <w:jc w:val="both"/>
        <w:rPr>
          <w:rFonts w:ascii="Times New Roman" w:eastAsia="Times New Roman" w:hAnsi="Times New Roman" w:cs="Times New Roman"/>
          <w:kern w:val="0"/>
          <w:sz w:val="24"/>
          <w:szCs w:val="24"/>
          <w:lang w:val="ro-RO" w:eastAsia="ro-RO"/>
          <w14:ligatures w14:val="none"/>
        </w:rPr>
      </w:pPr>
      <w:r w:rsidRPr="00CA07D0">
        <w:rPr>
          <w:rFonts w:ascii="Times New Roman" w:eastAsia="Times New Roman" w:hAnsi="Times New Roman" w:cs="Times New Roman"/>
          <w:b/>
          <w:bCs/>
          <w:kern w:val="0"/>
          <w:sz w:val="24"/>
          <w:szCs w:val="24"/>
          <w:lang w:val="ro-RO" w:eastAsia="ro-RO"/>
          <w14:ligatures w14:val="none"/>
        </w:rPr>
        <w:t xml:space="preserve">Anexa 4 - </w:t>
      </w:r>
      <w:r w:rsidRPr="00CA07D0">
        <w:rPr>
          <w:rFonts w:ascii="Times New Roman" w:eastAsia="Times New Roman" w:hAnsi="Times New Roman" w:cs="Times New Roman"/>
          <w:kern w:val="0"/>
          <w:sz w:val="24"/>
          <w:szCs w:val="24"/>
          <w:lang w:val="ro-RO" w:eastAsia="ro-RO"/>
          <w14:ligatures w14:val="none"/>
        </w:rPr>
        <w:t>PROCEDURI din 3 septembrie 2021 recomandate pentru dezinfecţia mâinilor, în funcţie de nivelul de risc</w:t>
      </w:r>
    </w:p>
    <w:p w14:paraId="2469837E" w14:textId="77777777" w:rsidR="00CA07D0" w:rsidRPr="00CA07D0" w:rsidRDefault="00CA07D0" w:rsidP="00CA07D0">
      <w:pPr>
        <w:numPr>
          <w:ilvl w:val="0"/>
          <w:numId w:val="2"/>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Ordinul nr. 1226 din 3 decembrie 2012 </w:t>
      </w:r>
      <w:r w:rsidRPr="00CA07D0">
        <w:rPr>
          <w:rFonts w:ascii="Times New Roman" w:eastAsia="Calibri" w:hAnsi="Times New Roman" w:cs="Times New Roman"/>
          <w:kern w:val="0"/>
          <w:sz w:val="24"/>
          <w:szCs w:val="24"/>
          <w:lang w:val="ro-RO"/>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7EE64FE9"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lastRenderedPageBreak/>
        <w:t xml:space="preserve">CAP. II – </w:t>
      </w:r>
      <w:r w:rsidRPr="00CA07D0">
        <w:rPr>
          <w:rFonts w:ascii="Times New Roman" w:eastAsia="Calibri" w:hAnsi="Times New Roman" w:cs="Times New Roman"/>
          <w:kern w:val="0"/>
          <w:sz w:val="24"/>
          <w:szCs w:val="24"/>
          <w:lang w:val="ro-RO"/>
          <w14:ligatures w14:val="none"/>
        </w:rPr>
        <w:t>Definiții</w:t>
      </w:r>
    </w:p>
    <w:p w14:paraId="6494A75C"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CAP. III – </w:t>
      </w:r>
      <w:r w:rsidRPr="00CA07D0">
        <w:rPr>
          <w:rFonts w:ascii="Times New Roman" w:eastAsia="Calibri" w:hAnsi="Times New Roman" w:cs="Times New Roman"/>
          <w:kern w:val="0"/>
          <w:sz w:val="24"/>
          <w:szCs w:val="24"/>
          <w:lang w:val="ro-RO"/>
          <w14:ligatures w14:val="none"/>
        </w:rPr>
        <w:t>Clasificări</w:t>
      </w:r>
    </w:p>
    <w:p w14:paraId="35E56F3B"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CAP. IV – </w:t>
      </w:r>
      <w:r w:rsidRPr="00CA07D0">
        <w:rPr>
          <w:rFonts w:ascii="Times New Roman" w:eastAsia="Calibri" w:hAnsi="Times New Roman" w:cs="Times New Roman"/>
          <w:kern w:val="0"/>
          <w:sz w:val="24"/>
          <w:szCs w:val="24"/>
          <w:lang w:val="ro-RO"/>
          <w14:ligatures w14:val="none"/>
        </w:rPr>
        <w:t>Minimizarea cantității de deșeuri</w:t>
      </w:r>
    </w:p>
    <w:p w14:paraId="3DE8F91C"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CAP. V – </w:t>
      </w:r>
      <w:r w:rsidRPr="00CA07D0">
        <w:rPr>
          <w:rFonts w:ascii="Times New Roman" w:eastAsia="Calibri" w:hAnsi="Times New Roman" w:cs="Times New Roman"/>
          <w:kern w:val="0"/>
          <w:sz w:val="24"/>
          <w:szCs w:val="24"/>
          <w:lang w:val="ro-RO"/>
          <w14:ligatures w14:val="none"/>
        </w:rPr>
        <w:t>Colectarea deșeurilor medicale la locul de producere</w:t>
      </w:r>
    </w:p>
    <w:p w14:paraId="2DA9765F"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CAP. VI – </w:t>
      </w:r>
      <w:r w:rsidRPr="00CA07D0">
        <w:rPr>
          <w:rFonts w:ascii="Times New Roman" w:eastAsia="Calibri" w:hAnsi="Times New Roman" w:cs="Times New Roman"/>
          <w:kern w:val="0"/>
          <w:sz w:val="24"/>
          <w:szCs w:val="24"/>
          <w:lang w:val="ro-RO"/>
          <w14:ligatures w14:val="none"/>
        </w:rPr>
        <w:t>Ambalarea deșeurilor medicale</w:t>
      </w:r>
    </w:p>
    <w:p w14:paraId="592EF420"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CAP. VII – </w:t>
      </w:r>
      <w:r w:rsidRPr="00CA07D0">
        <w:rPr>
          <w:rFonts w:ascii="Times New Roman" w:eastAsia="Calibri" w:hAnsi="Times New Roman" w:cs="Times New Roman"/>
          <w:kern w:val="0"/>
          <w:sz w:val="24"/>
          <w:szCs w:val="24"/>
          <w:lang w:val="ro-RO"/>
          <w14:ligatures w14:val="none"/>
        </w:rPr>
        <w:t>Stocarea temporară a deșeurilor rezultate din activități medicale</w:t>
      </w:r>
    </w:p>
    <w:p w14:paraId="795852C1" w14:textId="77777777" w:rsidR="00CA07D0" w:rsidRPr="00CA07D0" w:rsidRDefault="00CA07D0" w:rsidP="00CA07D0">
      <w:pPr>
        <w:numPr>
          <w:ilvl w:val="0"/>
          <w:numId w:val="3"/>
        </w:numPr>
        <w:tabs>
          <w:tab w:val="left" w:pos="0"/>
        </w:tabs>
        <w:spacing w:after="200" w:line="276" w:lineRule="auto"/>
        <w:jc w:val="both"/>
        <w:rPr>
          <w:rFonts w:ascii="Times New Roman" w:eastAsia="Calibri" w:hAnsi="Times New Roman" w:cs="Times New Roman"/>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CAP. VIII – </w:t>
      </w:r>
      <w:r w:rsidRPr="00CA07D0">
        <w:rPr>
          <w:rFonts w:ascii="Times New Roman" w:eastAsia="Calibri" w:hAnsi="Times New Roman" w:cs="Times New Roman"/>
          <w:kern w:val="0"/>
          <w:sz w:val="24"/>
          <w:szCs w:val="24"/>
          <w:lang w:val="ro-RO"/>
          <w14:ligatures w14:val="none"/>
        </w:rPr>
        <w:t>Transportul deșeurilor rezultate din activitățile medicale</w:t>
      </w:r>
    </w:p>
    <w:p w14:paraId="4C6B9BDE" w14:textId="77777777" w:rsidR="00CA07D0" w:rsidRPr="00CA07D0" w:rsidRDefault="00CA07D0" w:rsidP="00CA07D0">
      <w:pPr>
        <w:spacing w:after="200" w:line="360" w:lineRule="auto"/>
        <w:jc w:val="center"/>
        <w:rPr>
          <w:rFonts w:ascii="Times New Roman" w:eastAsia="Calibri" w:hAnsi="Times New Roman" w:cs="Times New Roman"/>
          <w:b/>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TEMATICA </w:t>
      </w:r>
    </w:p>
    <w:p w14:paraId="574760E6" w14:textId="77777777" w:rsidR="00CA07D0" w:rsidRPr="00CA07D0" w:rsidRDefault="00CA07D0" w:rsidP="00CA07D0">
      <w:pPr>
        <w:spacing w:after="200" w:line="240" w:lineRule="auto"/>
        <w:jc w:val="center"/>
        <w:rPr>
          <w:rFonts w:ascii="Times New Roman" w:eastAsia="Calibri" w:hAnsi="Times New Roman" w:cs="Times New Roman"/>
          <w:b/>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 xml:space="preserve">la concursul organizat în vederea ocupării postului vacant de Medic specialist medicina de </w:t>
      </w:r>
    </w:p>
    <w:p w14:paraId="685D3BCE" w14:textId="77777777" w:rsidR="00CA07D0" w:rsidRPr="00CA07D0" w:rsidRDefault="00CA07D0" w:rsidP="00CA07D0">
      <w:pPr>
        <w:spacing w:after="200" w:line="240" w:lineRule="auto"/>
        <w:jc w:val="center"/>
        <w:rPr>
          <w:rFonts w:ascii="Times New Roman" w:eastAsia="Calibri" w:hAnsi="Times New Roman" w:cs="Times New Roman"/>
          <w:b/>
          <w:i/>
          <w:kern w:val="0"/>
          <w:sz w:val="24"/>
          <w:szCs w:val="24"/>
          <w:lang w:val="ro-RO"/>
          <w14:ligatures w14:val="none"/>
        </w:rPr>
      </w:pPr>
      <w:r w:rsidRPr="00CA07D0">
        <w:rPr>
          <w:rFonts w:ascii="Times New Roman" w:eastAsia="Calibri" w:hAnsi="Times New Roman" w:cs="Times New Roman"/>
          <w:b/>
          <w:kern w:val="0"/>
          <w:sz w:val="24"/>
          <w:szCs w:val="24"/>
          <w:lang w:val="ro-RO"/>
          <w14:ligatures w14:val="none"/>
        </w:rPr>
        <w:t>laborator</w:t>
      </w:r>
    </w:p>
    <w:p w14:paraId="5BCC4F63" w14:textId="77777777" w:rsidR="00CA07D0" w:rsidRPr="00CA07D0" w:rsidRDefault="00CA07D0" w:rsidP="00CA07D0">
      <w:pPr>
        <w:numPr>
          <w:ilvl w:val="0"/>
          <w:numId w:val="1"/>
        </w:numPr>
        <w:spacing w:after="120" w:line="20" w:lineRule="atLeast"/>
        <w:rPr>
          <w:rFonts w:ascii="Arial Narrow" w:eastAsia="Calibri" w:hAnsi="Arial Narrow" w:cs="Times New Roman"/>
          <w:b/>
          <w:kern w:val="0"/>
          <w:sz w:val="24"/>
          <w:szCs w:val="24"/>
          <w:lang w:val="ro-RO"/>
          <w14:ligatures w14:val="none"/>
        </w:rPr>
      </w:pPr>
      <w:r w:rsidRPr="00CA07D0">
        <w:rPr>
          <w:rFonts w:ascii="Arial Narrow" w:eastAsia="Calibri" w:hAnsi="Arial Narrow" w:cs="Times New Roman"/>
          <w:b/>
          <w:kern w:val="0"/>
          <w:sz w:val="24"/>
          <w:szCs w:val="24"/>
          <w:lang w:val="ro-RO"/>
          <w14:ligatures w14:val="none"/>
        </w:rPr>
        <w:t>ORGANIZAREA ȘI MANAGEMENTUL LABORATORULUI DE ANALIZE MEDICALE – 1 subiect din:</w:t>
      </w:r>
    </w:p>
    <w:p w14:paraId="480E64FA"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1.1. Normele de funcţionare a laboratoarelor de analize medicale </w:t>
      </w:r>
    </w:p>
    <w:p w14:paraId="6B44A6C1"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1.2. Sistemul de management al calităţii</w:t>
      </w:r>
    </w:p>
    <w:p w14:paraId="43BE3572"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1.3. Managementul datelor. Sistemul informatic al laboratorului medical. Etica şi confidenţialitatea în laboratorul de analize medicale. </w:t>
      </w:r>
    </w:p>
    <w:p w14:paraId="73152FA7"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1.4. Biosiguranţa şi biosecuritatea laboratorului de analize medicale</w:t>
      </w:r>
    </w:p>
    <w:p w14:paraId="0ED20053" w14:textId="77777777" w:rsidR="00CA07D0" w:rsidRPr="00CA07D0" w:rsidRDefault="00CA07D0" w:rsidP="00CA07D0">
      <w:pPr>
        <w:numPr>
          <w:ilvl w:val="0"/>
          <w:numId w:val="1"/>
        </w:numPr>
        <w:spacing w:after="120" w:line="20" w:lineRule="atLeast"/>
        <w:rPr>
          <w:rFonts w:ascii="Arial Narrow" w:eastAsia="Calibri" w:hAnsi="Arial Narrow" w:cs="Times New Roman"/>
          <w:b/>
          <w:kern w:val="0"/>
          <w:sz w:val="24"/>
          <w:szCs w:val="24"/>
          <w:lang w:val="ro-RO"/>
          <w14:ligatures w14:val="none"/>
        </w:rPr>
      </w:pPr>
      <w:r w:rsidRPr="00CA07D0">
        <w:rPr>
          <w:rFonts w:ascii="Arial Narrow" w:eastAsia="Calibri" w:hAnsi="Arial Narrow" w:cs="Times New Roman"/>
          <w:b/>
          <w:kern w:val="0"/>
          <w:sz w:val="24"/>
          <w:szCs w:val="24"/>
          <w:lang w:val="ro-RO"/>
          <w14:ligatures w14:val="none"/>
        </w:rPr>
        <w:t>BIOCHIMIE – 3</w:t>
      </w:r>
      <w:r w:rsidRPr="00CA07D0">
        <w:rPr>
          <w:rFonts w:ascii="Arial Narrow" w:eastAsia="Calibri" w:hAnsi="Arial Narrow" w:cs="Times New Roman"/>
          <w:b/>
          <w:color w:val="FF0000"/>
          <w:kern w:val="0"/>
          <w:sz w:val="24"/>
          <w:szCs w:val="24"/>
          <w:lang w:val="ro-RO"/>
          <w14:ligatures w14:val="none"/>
        </w:rPr>
        <w:t xml:space="preserve"> </w:t>
      </w:r>
      <w:r w:rsidRPr="00CA07D0">
        <w:rPr>
          <w:rFonts w:ascii="Arial Narrow" w:eastAsia="Calibri" w:hAnsi="Arial Narrow" w:cs="Times New Roman"/>
          <w:b/>
          <w:kern w:val="0"/>
          <w:sz w:val="24"/>
          <w:szCs w:val="24"/>
          <w:lang w:val="ro-RO"/>
          <w14:ligatures w14:val="none"/>
        </w:rPr>
        <w:t>subiecte din:</w:t>
      </w:r>
    </w:p>
    <w:p w14:paraId="29631DEF"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2.1. Aminoacizi si proteine – structura, metabolism, diagnosticul principalelor disproteinemii</w:t>
      </w:r>
    </w:p>
    <w:p w14:paraId="5A8032FD"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2.2. Glucide– structura, metabolism, diagnosticul si monitorizarea diabetului zaharat </w:t>
      </w:r>
    </w:p>
    <w:p w14:paraId="0330F399"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2.3. Lipide, lipoproteine - structura, metabolism, diagnosticul hiperlipoproteinemiilor primare si secundare</w:t>
      </w:r>
    </w:p>
    <w:p w14:paraId="07FDE657"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2.4. Enzime - structura enzimelor – izoenzime - notiuni de cinetica enzimatica </w:t>
      </w:r>
    </w:p>
    <w:p w14:paraId="327A3C19"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 xml:space="preserve">2.5. Vitamine: structura, metabolism, diagnosticul de laborator al hipo- si hipervitaminozelor </w:t>
      </w:r>
    </w:p>
    <w:p w14:paraId="1660672A"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2.6. Hormoni: Hipotalamo-Hipofizari, Tiroidieni, Reglatori ai metabolismului calciului, Suprarenalieni,Pancreatici, Sexuali. Sistemul APUD.</w:t>
      </w:r>
    </w:p>
    <w:p w14:paraId="0B62638E"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2.7. Apa şi electroliţi – investigarea echilibrului hidro-electrolitic si acido-bazic</w:t>
      </w:r>
    </w:p>
    <w:p w14:paraId="5891FDA3"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2.8. Modificări biochimice in patologia renală</w:t>
      </w:r>
    </w:p>
    <w:p w14:paraId="73BC3D80"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2.9. Modificări biochimice in patologia hepatică.</w:t>
      </w:r>
    </w:p>
    <w:p w14:paraId="17905396"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2.10. Modificări biochimice in patologia cardio- vasculară.</w:t>
      </w:r>
    </w:p>
    <w:p w14:paraId="16E34D2E"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2.11. Oncogeneza.Markeri tumorali.</w:t>
      </w:r>
    </w:p>
    <w:p w14:paraId="29148D38"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lastRenderedPageBreak/>
        <w:t>2.12.  Modificarile biochimice in populatia pediatrica si geriatrica – particularitati.</w:t>
      </w:r>
    </w:p>
    <w:p w14:paraId="147A56F7" w14:textId="77777777" w:rsidR="00CA07D0" w:rsidRPr="00CA07D0" w:rsidRDefault="00CA07D0" w:rsidP="00CA07D0">
      <w:pPr>
        <w:numPr>
          <w:ilvl w:val="0"/>
          <w:numId w:val="1"/>
        </w:numPr>
        <w:spacing w:after="120" w:line="20" w:lineRule="atLeast"/>
        <w:rPr>
          <w:rFonts w:ascii="Arial Narrow" w:eastAsia="Calibri" w:hAnsi="Arial Narrow" w:cs="Times New Roman"/>
          <w:b/>
          <w:kern w:val="0"/>
          <w:sz w:val="24"/>
          <w:szCs w:val="24"/>
          <w:lang w:val="ro-RO"/>
          <w14:ligatures w14:val="none"/>
        </w:rPr>
      </w:pPr>
      <w:r w:rsidRPr="00CA07D0">
        <w:rPr>
          <w:rFonts w:ascii="Arial Narrow" w:eastAsia="Calibri" w:hAnsi="Arial Narrow" w:cs="Times New Roman"/>
          <w:b/>
          <w:kern w:val="0"/>
          <w:sz w:val="24"/>
          <w:szCs w:val="24"/>
          <w:lang w:val="ro-RO"/>
          <w14:ligatures w14:val="none"/>
        </w:rPr>
        <w:t xml:space="preserve"> IMUNOLOGIE – 2 subiecte din:</w:t>
      </w:r>
    </w:p>
    <w:p w14:paraId="34670F5B"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3.1 </w:t>
      </w:r>
      <w:r w:rsidRPr="00CA07D0">
        <w:rPr>
          <w:rFonts w:ascii="Arial Narrow" w:eastAsia="Calibri" w:hAnsi="Arial Narrow" w:cs="TimesNewRoman,Bold"/>
          <w:bCs/>
          <w:kern w:val="0"/>
          <w:sz w:val="24"/>
          <w:szCs w:val="24"/>
          <w:lang w:val="ro-RO"/>
          <w14:ligatures w14:val="none"/>
        </w:rPr>
        <w:t>Elementele celulare si umorale ale sistemului imun</w:t>
      </w:r>
    </w:p>
    <w:p w14:paraId="70C4F6CA"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NewRoman,Bold"/>
          <w:bCs/>
          <w:kern w:val="0"/>
          <w:sz w:val="24"/>
          <w:szCs w:val="24"/>
          <w:lang w:val="ro-RO"/>
          <w14:ligatures w14:val="none"/>
        </w:rPr>
        <w:t>3.2 Raspunsul imun normal si patologic (imunodeficiente si reactii imune patologice)</w:t>
      </w:r>
    </w:p>
    <w:p w14:paraId="4F3C9054"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NewRoman,Bold"/>
          <w:bCs/>
          <w:kern w:val="0"/>
          <w:sz w:val="24"/>
          <w:szCs w:val="24"/>
          <w:lang w:val="ro-RO"/>
          <w14:ligatures w14:val="none"/>
        </w:rPr>
        <w:t>3.3 Modularea răspunsului imun. Mecanisme imunoreglatoare.</w:t>
      </w:r>
    </w:p>
    <w:p w14:paraId="6179C48D"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NewRoman,Bold"/>
          <w:bCs/>
          <w:kern w:val="0"/>
          <w:sz w:val="24"/>
          <w:szCs w:val="24"/>
          <w:lang w:val="ro-RO"/>
          <w14:ligatures w14:val="none"/>
        </w:rPr>
        <w:t>3.4 Imunologia tumorală. Markeri tumorali</w:t>
      </w:r>
    </w:p>
    <w:p w14:paraId="17762D7E"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NewRoman,Bold"/>
          <w:bCs/>
          <w:kern w:val="0"/>
          <w:sz w:val="24"/>
          <w:szCs w:val="24"/>
          <w:lang w:val="ro-RO"/>
          <w14:ligatures w14:val="none"/>
        </w:rPr>
        <w:t>3.5 Imunologia transplantului</w:t>
      </w:r>
    </w:p>
    <w:p w14:paraId="2BBBED34"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NewRoman,Bold"/>
          <w:bCs/>
          <w:kern w:val="0"/>
          <w:sz w:val="24"/>
          <w:szCs w:val="24"/>
          <w:lang w:val="ro-RO"/>
          <w14:ligatures w14:val="none"/>
        </w:rPr>
        <w:t>3.6 Boli autoimune celulare ai umorale</w:t>
      </w:r>
    </w:p>
    <w:p w14:paraId="6387A0BB" w14:textId="77777777" w:rsidR="00CA07D0" w:rsidRPr="00CA07D0" w:rsidRDefault="00CA07D0" w:rsidP="00CA07D0">
      <w:pPr>
        <w:spacing w:after="120" w:line="20" w:lineRule="atLeast"/>
        <w:ind w:left="720"/>
        <w:rPr>
          <w:rFonts w:ascii="Arial Narrow" w:eastAsia="Calibri" w:hAnsi="Arial Narrow" w:cs="TimesNewRoman,Bold"/>
          <w:bCs/>
          <w:kern w:val="0"/>
          <w:sz w:val="24"/>
          <w:szCs w:val="24"/>
          <w:lang w:val="ro-RO"/>
          <w14:ligatures w14:val="none"/>
        </w:rPr>
      </w:pPr>
      <w:r w:rsidRPr="00CA07D0">
        <w:rPr>
          <w:rFonts w:ascii="Arial Narrow" w:eastAsia="Calibri" w:hAnsi="Arial Narrow" w:cs="TimesNewRoman,Bold"/>
          <w:bCs/>
          <w:kern w:val="0"/>
          <w:sz w:val="24"/>
          <w:szCs w:val="24"/>
          <w:lang w:val="ro-RO"/>
          <w14:ligatures w14:val="none"/>
        </w:rPr>
        <w:t>3.7 Apărarea antiinfecțioasă înnăscută și dobândită.</w:t>
      </w:r>
    </w:p>
    <w:p w14:paraId="652E12A7" w14:textId="77777777" w:rsidR="00CA07D0" w:rsidRPr="00CA07D0" w:rsidRDefault="00CA07D0" w:rsidP="00CA07D0">
      <w:pPr>
        <w:numPr>
          <w:ilvl w:val="0"/>
          <w:numId w:val="1"/>
        </w:numPr>
        <w:spacing w:after="120" w:line="20" w:lineRule="atLeast"/>
        <w:rPr>
          <w:rFonts w:ascii="Arial Narrow" w:eastAsia="Calibri" w:hAnsi="Arial Narrow" w:cs="Times New Roman"/>
          <w:b/>
          <w:kern w:val="0"/>
          <w:sz w:val="24"/>
          <w:szCs w:val="24"/>
          <w:lang w:val="ro-RO"/>
          <w14:ligatures w14:val="none"/>
        </w:rPr>
      </w:pPr>
      <w:r w:rsidRPr="00CA07D0">
        <w:rPr>
          <w:rFonts w:ascii="Arial Narrow" w:eastAsia="Calibri" w:hAnsi="Arial Narrow" w:cs="Times New Roman"/>
          <w:b/>
          <w:kern w:val="0"/>
          <w:sz w:val="24"/>
          <w:szCs w:val="24"/>
          <w:lang w:val="ro-RO"/>
          <w14:ligatures w14:val="none"/>
        </w:rPr>
        <w:t>4. BIOLOGIE MOLECULARA – 1 subiect din:</w:t>
      </w:r>
    </w:p>
    <w:p w14:paraId="338E8003"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4.1. Dogma centrală a biologiei moleculare şi aplicaţii medicale.</w:t>
      </w:r>
    </w:p>
    <w:p w14:paraId="7CD1C9C7"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4.2. Tehnici de analiză a acizilor nucleici.</w:t>
      </w:r>
    </w:p>
    <w:p w14:paraId="1736DD91"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4.3. Patologia genetică a sistemului imun.</w:t>
      </w:r>
    </w:p>
    <w:p w14:paraId="2EDECA56"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4.4. Genetica bolii canceroase</w:t>
      </w:r>
    </w:p>
    <w:p w14:paraId="340503BC"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4.5 Boli monogenice</w:t>
      </w:r>
    </w:p>
    <w:p w14:paraId="3F6D0981" w14:textId="77777777" w:rsidR="00CA07D0" w:rsidRPr="00CA07D0" w:rsidRDefault="00CA07D0" w:rsidP="00CA07D0">
      <w:pPr>
        <w:spacing w:after="120" w:line="20" w:lineRule="atLeast"/>
        <w:ind w:left="720"/>
        <w:rPr>
          <w:rFonts w:ascii="Arial Narrow" w:eastAsia="Calibri" w:hAnsi="Arial Narrow" w:cs="TimesNewRoman"/>
          <w:kern w:val="0"/>
          <w:sz w:val="24"/>
          <w:szCs w:val="24"/>
          <w:lang w:val="ro-RO"/>
          <w14:ligatures w14:val="none"/>
        </w:rPr>
      </w:pPr>
      <w:r w:rsidRPr="00CA07D0">
        <w:rPr>
          <w:rFonts w:ascii="Arial Narrow" w:eastAsia="Calibri" w:hAnsi="Arial Narrow" w:cs="TimesNewRoman"/>
          <w:kern w:val="0"/>
          <w:sz w:val="24"/>
          <w:szCs w:val="24"/>
          <w:lang w:val="ro-RO"/>
          <w14:ligatures w14:val="none"/>
        </w:rPr>
        <w:t>4.6 Boli cromozomiale</w:t>
      </w:r>
    </w:p>
    <w:p w14:paraId="55127B45" w14:textId="77777777" w:rsidR="00CA07D0" w:rsidRPr="00CA07D0" w:rsidRDefault="00CA07D0" w:rsidP="00CA07D0">
      <w:pPr>
        <w:numPr>
          <w:ilvl w:val="0"/>
          <w:numId w:val="1"/>
        </w:numPr>
        <w:spacing w:after="120" w:line="20" w:lineRule="atLeast"/>
        <w:rPr>
          <w:rFonts w:ascii="Arial Narrow" w:eastAsia="Calibri" w:hAnsi="Arial Narrow" w:cs="Times New Roman"/>
          <w:b/>
          <w:kern w:val="0"/>
          <w:sz w:val="24"/>
          <w:szCs w:val="24"/>
          <w:lang w:val="ro-RO"/>
          <w14:ligatures w14:val="none"/>
        </w:rPr>
      </w:pPr>
      <w:r w:rsidRPr="00CA07D0">
        <w:rPr>
          <w:rFonts w:ascii="Arial Narrow" w:eastAsia="Calibri" w:hAnsi="Arial Narrow" w:cs="Times New Roman"/>
          <w:b/>
          <w:kern w:val="0"/>
          <w:sz w:val="24"/>
          <w:szCs w:val="24"/>
          <w:lang w:val="ro-RO"/>
          <w14:ligatures w14:val="none"/>
        </w:rPr>
        <w:t>5. HEMATOLOGIE – 3 subiecte din:</w:t>
      </w:r>
    </w:p>
    <w:p w14:paraId="410FE500"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5.1. Diagnosticul de laborator al productiei si distructiei de eritrocite. </w:t>
      </w:r>
    </w:p>
    <w:p w14:paraId="19D11029"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5.2 Metabolismul fierului: date normale, fiziopatologie, metode de explorare in laboratorul clinic. </w:t>
      </w:r>
    </w:p>
    <w:p w14:paraId="0465C299"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5.3. Diagnosticul de laborator al hemolizei extravasculare si al hemolizei intravasculare.</w:t>
      </w:r>
    </w:p>
    <w:p w14:paraId="4EE728EB"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5.4. Anomaliile morfologice ale hematiilor: descriere, semnificatie, metode de evidentiere. </w:t>
      </w:r>
    </w:p>
    <w:p w14:paraId="1519A833"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5.5. Definitia, clasificarea si metodologia de identificare a urmatoarelor tipuri de anemii: hipocrome, hemolitice, megaloblastice, macrocitare.</w:t>
      </w:r>
    </w:p>
    <w:p w14:paraId="1456646D"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5.6. Definitia, clasificarea si criteriile de diagnostic ale bolilor mieloproliferative cronice: </w:t>
      </w:r>
      <w:r w:rsidRPr="00CA07D0">
        <w:rPr>
          <w:rFonts w:ascii="Arial Narrow" w:eastAsia="Calibri" w:hAnsi="Arial Narrow" w:cs="Times New Roman"/>
          <w:bCs/>
          <w:kern w:val="0"/>
          <w:sz w:val="24"/>
          <w:szCs w:val="24"/>
          <w:lang w:val="ro-RO"/>
          <w14:ligatures w14:val="none"/>
        </w:rPr>
        <w:t>leucemia mieloidă  cronica, mielofibroza idiopatică, Policitemia Vera, trombocitemia idiopatică</w:t>
      </w:r>
      <w:r w:rsidRPr="00CA07D0">
        <w:rPr>
          <w:rFonts w:ascii="Arial Narrow" w:eastAsia="Calibri" w:hAnsi="Arial Narrow" w:cs="Times New Roman"/>
          <w:kern w:val="0"/>
          <w:sz w:val="24"/>
          <w:szCs w:val="24"/>
          <w:lang w:val="ro-RO"/>
          <w14:ligatures w14:val="none"/>
        </w:rPr>
        <w:t xml:space="preserve">. </w:t>
      </w:r>
    </w:p>
    <w:p w14:paraId="51577067"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5.7. Definitia, clasificarea si criteriile de diagnostic ale leucemiei limfatice cronice si ale leucemiei cu celule paroase. </w:t>
      </w:r>
    </w:p>
    <w:p w14:paraId="22801236"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5.8. Leucemiile acute (LA): clasificarea si metodele de diagnostic (examenul morfologice, citochimia optica si ultrastructurala, imunofenotiparea, examenul citogenetic, genetica moleculara. </w:t>
      </w:r>
    </w:p>
    <w:p w14:paraId="26475F96"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5.9. Sindroame mielodisplazice (SMD): definitie, clasificare, diagnosticul diferential dintre SMD si LA. </w:t>
      </w:r>
    </w:p>
    <w:p w14:paraId="1B2AB94A"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5.10. Coagularea si fibrinoliza: mecanisme, reglare, explorare in laboratorul clinic. </w:t>
      </w:r>
    </w:p>
    <w:p w14:paraId="5112FD69" w14:textId="77777777" w:rsidR="00CA07D0" w:rsidRPr="00CA07D0" w:rsidRDefault="00CA07D0" w:rsidP="00CA07D0">
      <w:pPr>
        <w:spacing w:after="120" w:line="20" w:lineRule="atLeast"/>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t xml:space="preserve">5.11. Sindroame hemoragice (SH): clasificare, metodologia diagnosticului. Se vor trata urmatoarele afectiuni: SH de cauza trombocitara, hemofiliile, boala Von Willebrand, sindromul coagularii intravasculare diseminate, fibrinoliza primara. </w:t>
      </w:r>
    </w:p>
    <w:p w14:paraId="60908174" w14:textId="77777777" w:rsidR="00CA07D0" w:rsidRPr="00CA07D0" w:rsidRDefault="00CA07D0" w:rsidP="00CA07D0">
      <w:pPr>
        <w:spacing w:after="120" w:line="276" w:lineRule="auto"/>
        <w:ind w:left="720"/>
        <w:rPr>
          <w:rFonts w:ascii="Arial Narrow" w:eastAsia="Calibri" w:hAnsi="Arial Narrow" w:cs="Times New Roman"/>
          <w:kern w:val="0"/>
          <w:sz w:val="24"/>
          <w:szCs w:val="24"/>
          <w:lang w:val="ro-RO"/>
          <w14:ligatures w14:val="none"/>
        </w:rPr>
      </w:pPr>
      <w:r w:rsidRPr="00CA07D0">
        <w:rPr>
          <w:rFonts w:ascii="Arial Narrow" w:eastAsia="Calibri" w:hAnsi="Arial Narrow" w:cs="Times New Roman"/>
          <w:kern w:val="0"/>
          <w:sz w:val="24"/>
          <w:szCs w:val="24"/>
          <w:lang w:val="ro-RO"/>
          <w14:ligatures w14:val="none"/>
        </w:rPr>
        <w:lastRenderedPageBreak/>
        <w:t xml:space="preserve">5.12. Sistemele ABO si Rh: antigene si anticorpi regulari si imuni; regulile transfuzionale de compatibilitate ABO si identitate si compatibilitate Rh; regulile imunologice ale transfuziei; reacții adverse post-transfuzionale, accidente și incidente. </w:t>
      </w:r>
    </w:p>
    <w:p w14:paraId="22C336F4" w14:textId="77777777" w:rsidR="00CA07D0" w:rsidRPr="00CA07D0" w:rsidRDefault="00CA07D0" w:rsidP="00CA07D0">
      <w:pPr>
        <w:tabs>
          <w:tab w:val="left" w:pos="270"/>
        </w:tabs>
        <w:spacing w:after="0" w:line="240" w:lineRule="auto"/>
        <w:jc w:val="both"/>
        <w:rPr>
          <w:rFonts w:ascii="Times New Roman" w:eastAsia="Times New Roman" w:hAnsi="Times New Roman" w:cs="Times New Roman"/>
          <w:kern w:val="0"/>
          <w:sz w:val="24"/>
          <w:szCs w:val="24"/>
          <w:lang w:val="ro-RO" w:eastAsia="ro-RO"/>
          <w14:ligatures w14:val="none"/>
        </w:rPr>
      </w:pPr>
    </w:p>
    <w:p w14:paraId="1C4BE15B" w14:textId="77777777" w:rsidR="008A437E" w:rsidRDefault="008A437E"/>
    <w:sectPr w:rsidR="008A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0FBC"/>
    <w:multiLevelType w:val="hybridMultilevel"/>
    <w:tmpl w:val="88164EE0"/>
    <w:lvl w:ilvl="0" w:tplc="B75A7914">
      <w:start w:val="1"/>
      <w:numFmt w:val="bullet"/>
      <w:lvlText w:val="-"/>
      <w:lvlJc w:val="left"/>
      <w:pPr>
        <w:ind w:left="2070" w:hanging="360"/>
      </w:pPr>
      <w:rPr>
        <w:rFonts w:ascii="Times New Roman" w:eastAsia="Calibri" w:hAnsi="Times New Roman" w:cs="Times New Roman"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1" w15:restartNumberingAfterBreak="0">
    <w:nsid w:val="7BBE03B6"/>
    <w:multiLevelType w:val="hybridMultilevel"/>
    <w:tmpl w:val="375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277ACC"/>
    <w:multiLevelType w:val="hybridMultilevel"/>
    <w:tmpl w:val="0EEAAA1C"/>
    <w:lvl w:ilvl="0" w:tplc="1D801E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8001982">
    <w:abstractNumId w:val="1"/>
  </w:num>
  <w:num w:numId="2" w16cid:durableId="1906180313">
    <w:abstractNumId w:val="2"/>
  </w:num>
  <w:num w:numId="3" w16cid:durableId="666134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25"/>
    <w:rsid w:val="00107C25"/>
    <w:rsid w:val="00640BD7"/>
    <w:rsid w:val="0083276D"/>
    <w:rsid w:val="008A437E"/>
    <w:rsid w:val="00CA0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306E"/>
  <w15:chartTrackingRefBased/>
  <w15:docId w15:val="{E1C23CAB-E75B-447D-8274-E95B59AE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rariadelfin.ro/autor/valeriu-atanasiu-maria-mohora-carmen-duta-marilena-gilca-corina-muscurel-codruta-popa-bogdana-virgolici--i22578"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972</Words>
  <Characters>5545</Characters>
  <Application>Microsoft Office Word</Application>
  <DocSecurity>0</DocSecurity>
  <Lines>46</Lines>
  <Paragraphs>13</Paragraphs>
  <ScaleCrop>false</ScaleCrop>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lipova</dc:creator>
  <cp:keywords/>
  <dc:description/>
  <cp:lastModifiedBy>spital lipova</cp:lastModifiedBy>
  <cp:revision>4</cp:revision>
  <dcterms:created xsi:type="dcterms:W3CDTF">2023-04-27T05:37:00Z</dcterms:created>
  <dcterms:modified xsi:type="dcterms:W3CDTF">2023-04-27T05:40:00Z</dcterms:modified>
</cp:coreProperties>
</file>